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Data Analyst</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Quản lý dữ liệu chính, bao gồm cả việc tạo, cập nhật và xóa.</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Quản lý người dùng và vai trò của người dùng.</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Cung cấp đảm bảo chất lượng của dữ liệu nhập khẩu, làm việc với các nhà phân tích đảm bảo chất lượng nếu cần thiết.</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Vận hành và ngừng hoạt động của tập dữ liệu.</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Xử lý dữ liệu và thông tin bí mật theo hướng dẫn.</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Giúp phát triển các báo cáo và phân tích.</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Quản lý và thiết kế môi trường báo cáo, bao gồm các nguồn dữ liệu, bảo mật và siêu dữ liệu.</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Hỗ trợ kho dữ liệu trong việc xác định và sửa đổi các yêu cầu báo cáo.</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Hỗ trợ các sáng kiến ​​về tính toàn vẹn và chuẩn hóa dữ liệu.</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Đánh giá các thử nghiệm và triển khai phần mềm mới hoặc nâng cấp và hỗ trợ đưa ra các quyết định chiến lược về hệ thống mới.</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Tạo báo cáo từ một hoặc nhiều hệ thống.</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Khắc phục sự cố môi trường cơ sở dữ liệu báo cáo và các báo cáo.</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Đánh giá các thay đổi và cập nhật đối với hệ thống sản xuất nguồn.</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Đào tạo người dùng cuối về các báo cáo và trang tổng quan mới.</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Cung cấp kiến ​​thức chuyên môn kỹ thuật về cấu trúc lưu trữ dữ liệu, khai thác dữ liệu và làm sạch dữ liệu.</w:t>
            </w:r>
          </w:p>
          <w:p w:rsidR="00000000" w:rsidDel="00000000" w:rsidP="00000000" w:rsidRDefault="00000000" w:rsidRPr="00000000" w14:paraId="0000003C">
            <w:pPr>
              <w:spacing w:after="0" w:line="240" w:lineRule="auto"/>
              <w:rPr>
                <w:color w:val="7f7f7f"/>
              </w:rPr>
            </w:pPr>
            <w:r w:rsidDel="00000000" w:rsidR="00000000" w:rsidRPr="00000000">
              <w:rPr>
                <w:rtl w:val="0"/>
              </w:rPr>
            </w:r>
          </w:p>
        </w:tc>
      </w:tr>
      <w:tr>
        <w:trPr>
          <w:cantSplit w:val="0"/>
          <w:trHeight w:val="3915"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E">
            <w:pPr>
              <w:spacing w:after="0" w:line="240" w:lineRule="auto"/>
              <w:rPr>
                <w:rFonts w:ascii="Nunito" w:cs="Nunito" w:eastAsia="Nunito" w:hAnsi="Nunito"/>
                <w:color w:val="333333"/>
                <w:sz w:val="21"/>
                <w:szCs w:val="21"/>
                <w:highlight w:val="white"/>
              </w:rPr>
            </w:pPr>
            <w:r w:rsidDel="00000000" w:rsidR="00000000" w:rsidRPr="00000000">
              <w:rPr>
                <w:color w:val="7f7f7f"/>
                <w:rtl w:val="0"/>
              </w:rPr>
              <w:t xml:space="preserve">• </w:t>
            </w:r>
            <w:r w:rsidDel="00000000" w:rsidR="00000000" w:rsidRPr="00000000">
              <w:rPr>
                <w:rFonts w:ascii="Nunito" w:cs="Nunito" w:eastAsia="Nunito" w:hAnsi="Nunito"/>
                <w:color w:val="333333"/>
                <w:sz w:val="21"/>
                <w:szCs w:val="21"/>
                <w:highlight w:val="white"/>
                <w:rtl w:val="0"/>
              </w:rPr>
              <w:t xml:space="preserve">Tốt nghiệp đại học trở lên các chuyên ngành công nghệ thông tin, khoa học máy tính, khoa học dữ liệu… hoặc tương đương.</w:t>
            </w:r>
          </w:p>
          <w:p w:rsidR="00000000" w:rsidDel="00000000" w:rsidP="00000000" w:rsidRDefault="00000000" w:rsidRPr="00000000" w14:paraId="0000003F">
            <w:pPr>
              <w:spacing w:after="0" w:line="240" w:lineRule="auto"/>
              <w:rPr>
                <w:rFonts w:ascii="Nunito" w:cs="Nunito" w:eastAsia="Nunito" w:hAnsi="Nunito"/>
                <w:color w:val="333333"/>
                <w:sz w:val="21"/>
                <w:szCs w:val="21"/>
                <w:highlight w:val="white"/>
              </w:rPr>
            </w:pPr>
            <w:r w:rsidDel="00000000" w:rsidR="00000000" w:rsidRPr="00000000">
              <w:rPr>
                <w:color w:val="7f7f7f"/>
                <w:rtl w:val="0"/>
              </w:rPr>
              <w:t xml:space="preserve">• </w:t>
            </w:r>
            <w:r w:rsidDel="00000000" w:rsidR="00000000" w:rsidRPr="00000000">
              <w:rPr>
                <w:rFonts w:ascii="Nunito" w:cs="Nunito" w:eastAsia="Nunito" w:hAnsi="Nunito"/>
                <w:color w:val="333333"/>
                <w:sz w:val="21"/>
                <w:szCs w:val="21"/>
                <w:highlight w:val="white"/>
                <w:rtl w:val="0"/>
              </w:rPr>
              <w:t xml:space="preserve">Có kinh nghiệm tối thiểu 02 năm ở vị trí tương đương</w:t>
            </w:r>
          </w:p>
          <w:p w:rsidR="00000000" w:rsidDel="00000000" w:rsidP="00000000" w:rsidRDefault="00000000" w:rsidRPr="00000000" w14:paraId="00000040">
            <w:pPr>
              <w:spacing w:after="0" w:line="240" w:lineRule="auto"/>
              <w:rPr>
                <w:rFonts w:ascii="Nunito" w:cs="Nunito" w:eastAsia="Nunito" w:hAnsi="Nunito"/>
                <w:color w:val="333333"/>
                <w:sz w:val="21"/>
                <w:szCs w:val="21"/>
                <w:highlight w:val="white"/>
              </w:rPr>
            </w:pPr>
            <w:r w:rsidDel="00000000" w:rsidR="00000000" w:rsidRPr="00000000">
              <w:rPr>
                <w:color w:val="7f7f7f"/>
                <w:rtl w:val="0"/>
              </w:rPr>
              <w:t xml:space="preserve">• </w:t>
            </w:r>
            <w:r w:rsidDel="00000000" w:rsidR="00000000" w:rsidRPr="00000000">
              <w:rPr>
                <w:rFonts w:ascii="Nunito" w:cs="Nunito" w:eastAsia="Nunito" w:hAnsi="Nunito"/>
                <w:color w:val="333333"/>
                <w:sz w:val="21"/>
                <w:szCs w:val="21"/>
                <w:highlight w:val="white"/>
                <w:rtl w:val="0"/>
              </w:rPr>
              <w:t xml:space="preserve">Khả năng làm việc với các bên liên quan để đánh giá rủi ro tiềm ẩn.</w:t>
            </w:r>
          </w:p>
          <w:p w:rsidR="00000000" w:rsidDel="00000000" w:rsidP="00000000" w:rsidRDefault="00000000" w:rsidRPr="00000000" w14:paraId="00000041">
            <w:pPr>
              <w:spacing w:after="0" w:line="240" w:lineRule="auto"/>
              <w:rPr>
                <w:rFonts w:ascii="Nunito" w:cs="Nunito" w:eastAsia="Nunito" w:hAnsi="Nunito"/>
                <w:color w:val="333333"/>
                <w:sz w:val="21"/>
                <w:szCs w:val="21"/>
                <w:highlight w:val="white"/>
              </w:rPr>
            </w:pPr>
            <w:r w:rsidDel="00000000" w:rsidR="00000000" w:rsidRPr="00000000">
              <w:rPr>
                <w:color w:val="7f7f7f"/>
                <w:rtl w:val="0"/>
              </w:rPr>
              <w:t xml:space="preserve">• </w:t>
            </w:r>
            <w:r w:rsidDel="00000000" w:rsidR="00000000" w:rsidRPr="00000000">
              <w:rPr>
                <w:rFonts w:ascii="Nunito" w:cs="Nunito" w:eastAsia="Nunito" w:hAnsi="Nunito"/>
                <w:color w:val="333333"/>
                <w:sz w:val="21"/>
                <w:szCs w:val="21"/>
                <w:highlight w:val="white"/>
                <w:rtl w:val="0"/>
              </w:rPr>
              <w:t xml:space="preserve">Khả năng phân tích các công cụ và cơ sở dữ liệu hiện có và đưa ra các đề xuất giải pháp phần mềm.</w:t>
            </w:r>
          </w:p>
          <w:p w:rsidR="00000000" w:rsidDel="00000000" w:rsidP="00000000" w:rsidRDefault="00000000" w:rsidRPr="00000000" w14:paraId="00000042">
            <w:pPr>
              <w:spacing w:after="0" w:line="240" w:lineRule="auto"/>
              <w:rPr>
                <w:rFonts w:ascii="Nunito" w:cs="Nunito" w:eastAsia="Nunito" w:hAnsi="Nunito"/>
                <w:color w:val="333333"/>
                <w:sz w:val="21"/>
                <w:szCs w:val="21"/>
                <w:highlight w:val="white"/>
              </w:rPr>
            </w:pPr>
            <w:r w:rsidDel="00000000" w:rsidR="00000000" w:rsidRPr="00000000">
              <w:rPr>
                <w:color w:val="7f7f7f"/>
                <w:rtl w:val="0"/>
              </w:rPr>
              <w:t xml:space="preserve">• </w:t>
            </w:r>
            <w:r w:rsidDel="00000000" w:rsidR="00000000" w:rsidRPr="00000000">
              <w:rPr>
                <w:rFonts w:ascii="Nunito" w:cs="Nunito" w:eastAsia="Nunito" w:hAnsi="Nunito"/>
                <w:color w:val="333333"/>
                <w:sz w:val="21"/>
                <w:szCs w:val="21"/>
                <w:highlight w:val="white"/>
                <w:rtl w:val="0"/>
              </w:rPr>
              <w:t xml:space="preserve">Khả năng dịch các yêu cầu kinh doanh thành các thuật ngữ không mang tính kỹ thuật.</w:t>
            </w:r>
          </w:p>
          <w:p w:rsidR="00000000" w:rsidDel="00000000" w:rsidP="00000000" w:rsidRDefault="00000000" w:rsidRPr="00000000" w14:paraId="00000043">
            <w:pPr>
              <w:spacing w:after="0" w:line="240" w:lineRule="auto"/>
              <w:rPr>
                <w:rFonts w:ascii="Nunito" w:cs="Nunito" w:eastAsia="Nunito" w:hAnsi="Nunito"/>
                <w:color w:val="333333"/>
                <w:sz w:val="21"/>
                <w:szCs w:val="21"/>
                <w:highlight w:val="white"/>
              </w:rPr>
            </w:pPr>
            <w:r w:rsidDel="00000000" w:rsidR="00000000" w:rsidRPr="00000000">
              <w:rPr>
                <w:color w:val="7f7f7f"/>
                <w:rtl w:val="0"/>
              </w:rPr>
              <w:t xml:space="preserve">• </w:t>
            </w:r>
            <w:sdt>
              <w:sdtPr>
                <w:tag w:val="goog_rdk_0"/>
              </w:sdtPr>
              <w:sdtContent>
                <w:r w:rsidDel="00000000" w:rsidR="00000000" w:rsidRPr="00000000">
                  <w:rPr>
                    <w:rFonts w:ascii="Andika" w:cs="Andika" w:eastAsia="Andika" w:hAnsi="Andika"/>
                    <w:color w:val="333333"/>
                    <w:sz w:val="21"/>
                    <w:szCs w:val="21"/>
                    <w:highlight w:val="white"/>
                    <w:rtl w:val="0"/>
                  </w:rPr>
                  <w:t xml:space="preserve">Hiểu biết và làm chủ ít nhất về một trong các công cụ ETL, SQL, R, Python, Scala</w:t>
                </w:r>
              </w:sdtContent>
            </w:sdt>
          </w:p>
          <w:p w:rsidR="00000000" w:rsidDel="00000000" w:rsidP="00000000" w:rsidRDefault="00000000" w:rsidRPr="00000000" w14:paraId="00000044">
            <w:pPr>
              <w:spacing w:after="0" w:line="240" w:lineRule="auto"/>
              <w:rPr>
                <w:rFonts w:ascii="Nunito" w:cs="Nunito" w:eastAsia="Nunito" w:hAnsi="Nunito"/>
                <w:color w:val="333333"/>
                <w:sz w:val="21"/>
                <w:szCs w:val="21"/>
                <w:highlight w:val="white"/>
              </w:rPr>
            </w:pPr>
            <w:r w:rsidDel="00000000" w:rsidR="00000000" w:rsidRPr="00000000">
              <w:rPr>
                <w:color w:val="7f7f7f"/>
                <w:rtl w:val="0"/>
              </w:rPr>
              <w:t xml:space="preserve">• </w:t>
            </w:r>
            <w:r w:rsidDel="00000000" w:rsidR="00000000" w:rsidRPr="00000000">
              <w:rPr>
                <w:rFonts w:ascii="Nunito" w:cs="Nunito" w:eastAsia="Nunito" w:hAnsi="Nunito"/>
                <w:color w:val="333333"/>
                <w:sz w:val="21"/>
                <w:szCs w:val="21"/>
                <w:highlight w:val="white"/>
                <w:rtl w:val="0"/>
              </w:rPr>
              <w:t xml:space="preserve">Kiến thức về lập, phân tích định lượng, xây dựng mô hình Neural Network, Tensorflow</w:t>
            </w:r>
          </w:p>
          <w:p w:rsidR="00000000" w:rsidDel="00000000" w:rsidP="00000000" w:rsidRDefault="00000000" w:rsidRPr="00000000" w14:paraId="00000045">
            <w:pPr>
              <w:spacing w:after="0" w:line="240" w:lineRule="auto"/>
              <w:rPr>
                <w:rFonts w:ascii="Nunito" w:cs="Nunito" w:eastAsia="Nunito" w:hAnsi="Nunito"/>
                <w:color w:val="333333"/>
                <w:sz w:val="21"/>
                <w:szCs w:val="21"/>
                <w:highlight w:val="white"/>
              </w:rPr>
            </w:pPr>
            <w:r w:rsidDel="00000000" w:rsidR="00000000" w:rsidRPr="00000000">
              <w:rPr>
                <w:color w:val="7f7f7f"/>
                <w:rtl w:val="0"/>
              </w:rPr>
              <w:t xml:space="preserve">• </w:t>
            </w:r>
            <w:r w:rsidDel="00000000" w:rsidR="00000000" w:rsidRPr="00000000">
              <w:rPr>
                <w:rFonts w:ascii="Nunito" w:cs="Nunito" w:eastAsia="Nunito" w:hAnsi="Nunito"/>
                <w:color w:val="333333"/>
                <w:sz w:val="21"/>
                <w:szCs w:val="21"/>
                <w:highlight w:val="white"/>
                <w:rtl w:val="0"/>
              </w:rPr>
              <w:t xml:space="preserve">Năng lực xử lý nhiều nhiệm vụ, sắp xếp thứ tự ưu tiên một cách hiệu quả và làm việc trong một nhóm có hiệu suất cao.</w:t>
            </w:r>
          </w:p>
        </w:tc>
      </w:tr>
      <w:tr>
        <w:trPr>
          <w:cantSplit w:val="0"/>
          <w:trHeight w:val="175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7">
            <w:pPr>
              <w:spacing w:after="0" w:line="240" w:lineRule="auto"/>
              <w:rPr>
                <w:rFonts w:ascii="Nunito" w:cs="Nunito" w:eastAsia="Nunito" w:hAnsi="Nunito"/>
                <w:color w:val="333333"/>
                <w:sz w:val="21"/>
                <w:szCs w:val="21"/>
                <w:highlight w:val="white"/>
              </w:rPr>
            </w:pPr>
            <w:r w:rsidDel="00000000" w:rsidR="00000000" w:rsidRPr="00000000">
              <w:rPr>
                <w:color w:val="7f7f7f"/>
                <w:rtl w:val="0"/>
              </w:rPr>
              <w:t xml:space="preserve">• </w:t>
            </w:r>
            <w:r w:rsidDel="00000000" w:rsidR="00000000" w:rsidRPr="00000000">
              <w:rPr>
                <w:rFonts w:ascii="Nunito" w:cs="Nunito" w:eastAsia="Nunito" w:hAnsi="Nunito"/>
                <w:color w:val="333333"/>
                <w:sz w:val="21"/>
                <w:szCs w:val="21"/>
                <w:highlight w:val="white"/>
                <w:rtl w:val="0"/>
              </w:rPr>
              <w:t xml:space="preserve">Ưu tiên ứng viên có kiến thức và kinh nghiệm về hoạt động tài chính nói chung và hệ thống thông tin (thông tin về digital marketing, core banking, CRM, CDP, thẻ, ecommerce…)</w:t>
            </w:r>
          </w:p>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48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C">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w:t>
            </w:r>
            <w:r w:rsidDel="00000000" w:rsidR="00000000" w:rsidRPr="00000000">
              <w:rPr>
                <w:color w:val="7f7f7f"/>
                <w:rtl w:val="0"/>
              </w:rPr>
              <w:t xml:space="preserve">OEIC, JLPT</w:t>
            </w:r>
            <w:r w:rsidDel="00000000" w:rsidR="00000000" w:rsidRPr="00000000">
              <w:rPr>
                <w:rtl w:val="0"/>
              </w:rPr>
            </w:r>
          </w:p>
        </w:tc>
      </w:tr>
      <w:tr>
        <w:trPr>
          <w:cantSplit w:val="0"/>
          <w:trHeight w:val="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7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5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5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6">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ti</w:t>
            </w:r>
            <w:r w:rsidDel="00000000" w:rsidR="00000000" w:rsidRPr="00000000">
              <w:rPr>
                <w:color w:val="808080"/>
                <w:rtl w:val="0"/>
              </w:rPr>
              <w:t xml:space="preserve">ếng Nhật</w:t>
            </w:r>
            <w:r w:rsidDel="00000000" w:rsidR="00000000" w:rsidRPr="00000000">
              <w:rPr>
                <w:rtl w:val="0"/>
              </w:rPr>
            </w:r>
          </w:p>
        </w:tc>
      </w:tr>
    </w:tbl>
    <w:p w:rsidR="00000000" w:rsidDel="00000000" w:rsidP="00000000" w:rsidRDefault="00000000" w:rsidRPr="00000000" w14:paraId="0000005A">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 w:name="Andika">
    <w:embedRegular w:fontKey="{00000000-0000-0000-0000-000000000000}" r:id="rId1" w:subsetted="0"/>
  </w:font>
  <w:font w:name="Nuni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43182</wp:posOffset>
          </wp:positionH>
          <wp:positionV relativeFrom="paragraph">
            <wp:posOffset>-28573</wp:posOffset>
          </wp:positionV>
          <wp:extent cx="1908810" cy="352425"/>
          <wp:effectExtent b="0" l="0" r="0" t="0"/>
          <wp:wrapSquare wrapText="bothSides" distB="0" distT="0" distL="114300" distR="114300"/>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Nunito-regular.ttf"/><Relationship Id="rId3" Type="http://schemas.openxmlformats.org/officeDocument/2006/relationships/font" Target="fonts/Nunito-bold.ttf"/><Relationship Id="rId4" Type="http://schemas.openxmlformats.org/officeDocument/2006/relationships/font" Target="fonts/Nunito-italic.ttf"/><Relationship Id="rId5"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nrq9aTJJYn5uexmQyMOTiVs0AQ==">AMUW2mXsVj63IqmZpYpoRoEcUR0dFmPGb5vJxE5grQcEBKtGG+hqRPy6MLRchHjZyZtgKQz95GzQWrOxfgZJRfKDDYiBZg5GUH3cJhffQYgsRwv/yQtNTVCDDLZJQvwtgEYR3f7nLTrnH16X7RoWxr6nqpHO3sEdng==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