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Game Programmer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Game </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$500 ~ 1200</w:t>
            </w:r>
          </w:p>
        </w:tc>
      </w:tr>
      <w:tr>
        <w:trPr>
          <w:cantSplit w:val="0"/>
          <w:trHeight w:val="3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Phân tích các khái niệm trò chơi, các yếu tố thiết kế và thông số kỹ thuật với nhóm thiết kế trò chơi.</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Phối hợp với lập trình viên để thiết lập lịch trình và thời hạn làm việc.</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Lựa chọn khung trò chơi phù hợp và dịch các khái niệm thành mã sạch và hiệu quả.</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Thiết kế và thử nghiệm các tính năng và nguyên mẫu trò chơi.</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Tạo kịch bản trò chơi và bảng phân cảnh, cũng như tạo hoạt ảnh cho các nhân vật và đồ vật trong trò chơi.</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Góp phần phát triển giao diện người dùng, cũng như tích hợp các tính năng thiết kế đồ họa và âm thanh.</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Thực hiện các thử nghiệm và thực hiện các thủ tục xác nhận.</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Ghi lại toàn bộ vòng đời phát triển trò chơi.</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Duy trì mã, giải quyết sự cố và thực hiện sửa lỗi.</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Tích hợp các xu hướng mới nhất của ngành công nghiệp trò chơi vào các thiết kế trò chơi.</w:t>
            </w:r>
          </w:p>
        </w:tc>
      </w:tr>
      <w:tr>
        <w:trPr>
          <w:cantSplit w:val="0"/>
          <w:trHeight w:val="279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Bằng cử nhân về khoa học máy tính, kỹ thuật máy tính hoặc tương tự. Ưu tiên các môn học hoặc chứng chỉ về thiết kế và phát triển trò chơi.</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Có ít nhất 2 năm kinh nghiệm làm lập trình viên game.</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Kiến thức chuyên sâu về lập trình trò chơi vòng đời đầy đủ và các công nghệ liên quan.</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Rất thành thạo các ngôn ngữ lập trình, chẳng hạn như C ++ và Java.</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Kỹ năng phân tích và giải quyết vấn đề tuyệt vời.</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Khả năng giao tiếp và hợp tác xuất sắc.</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năng tổ chức và quản lý thời gian tuyệt vời.</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Có khả năng đóng góp vào sự đổi mới trong thiết kế trò chơi.</w:t>
            </w:r>
          </w:p>
        </w:tc>
      </w:tr>
      <w:tr>
        <w:trPr>
          <w:cantSplit w:val="0"/>
          <w:trHeight w:val="91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39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tc>
      </w:tr>
      <w:tr>
        <w:trPr>
          <w:cantSplit w:val="0"/>
          <w:trHeight w:val="49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5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CB30E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9C58D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semiHidden w:val="1"/>
    <w:rsid w:val="00CB30E8"/>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9C58D1"/>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6Mw4TMPVv3E3y//xaHQVqfz4aA==">AMUW2mX4iaoISa+r02JbGs0gJRpjvSG1X6BiHUGNoel/dddaKvl9QeqZQONDcGLJHqF3X5tXv1WfRfKj3LTLDdS7XLLo2fW03osl/KSVVd9FO5bSaGDZ7us=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