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39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IT Comtor</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Biên phiên dịch</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37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35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71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Biên phiên dịch tài liệu dự án, tài liệu QA, báo cáo, tài liệu về kỹ thuật phần mềm (Việt -Nhật, Nhật - Việt).</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Phiên dịch trong cuộc họp, meeting, video conference chủ yếu liên quan đến dự án, kỹ thuật phần mềm.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Dịch các cuộc trao đổi kỹ thuật của thành viên team phát triển với các kỹ sư người Nhật.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Có trách nhiệm trong việc kết nối giữa team và khách hàng.</w:t>
            </w:r>
          </w:p>
          <w:p w:rsidR="00000000" w:rsidDel="00000000" w:rsidP="00000000" w:rsidRDefault="00000000" w:rsidRPr="00000000" w14:paraId="00000031">
            <w:pPr>
              <w:spacing w:after="0" w:line="240" w:lineRule="auto"/>
              <w:rPr>
                <w:rFonts w:ascii="Calibri" w:cs="Calibri" w:eastAsia="Calibri" w:hAnsi="Calibri"/>
                <w:color w:val="808080"/>
              </w:rPr>
            </w:pPr>
            <w:r w:rsidDel="00000000" w:rsidR="00000000" w:rsidRPr="00000000">
              <w:rPr>
                <w:color w:val="7f7f7f"/>
                <w:rtl w:val="0"/>
              </w:rPr>
              <w:t xml:space="preserve">• Thực hiện một số task liên quan tới quản lý dự án.</w:t>
            </w:r>
            <w:r w:rsidDel="00000000" w:rsidR="00000000" w:rsidRPr="00000000">
              <w:rPr>
                <w:rtl w:val="0"/>
              </w:rPr>
            </w:r>
          </w:p>
        </w:tc>
      </w:tr>
      <w:tr>
        <w:trPr>
          <w:cantSplit w:val="0"/>
          <w:trHeight w:val="3401"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3">
            <w:pPr>
              <w:spacing w:after="0" w:line="240" w:lineRule="auto"/>
              <w:rPr>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Bằng Cử nhân về CNTT/ Ngôn ngữ Nhật. </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Có kinh nghiệm trên 2 năm làm IT comtor hoặc BSE.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Tiếng Nhật N2 trở lên. </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Có kiến thức về IT, hiểu quy trình dự án.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Có khả năng nắm bắt và quản lí dự án.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Khả năng xử lý thông tin và nhận biết vấn đề nhanh.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Khả năng giao tiếp tốt.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Có ý thức trách nhiệm cao, có tinh thần làm việc teamwork.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Có khả năng đưa ra ý kiến để cải thiện chất lượng công việc.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Có kinh nghiệm quản lý dự án là một lợi thế. </w:t>
            </w:r>
          </w:p>
          <w:p w:rsidR="00000000" w:rsidDel="00000000" w:rsidP="00000000" w:rsidRDefault="00000000" w:rsidRPr="00000000" w14:paraId="0000003D">
            <w:pPr>
              <w:spacing w:after="0" w:line="240" w:lineRule="auto"/>
              <w:rPr>
                <w:rFonts w:ascii="Calibri" w:cs="Calibri" w:eastAsia="Calibri" w:hAnsi="Calibri"/>
                <w:color w:val="808080"/>
              </w:rPr>
            </w:pPr>
            <w:r w:rsidDel="00000000" w:rsidR="00000000" w:rsidRPr="00000000">
              <w:rPr>
                <w:color w:val="7f7f7f"/>
                <w:rtl w:val="0"/>
              </w:rPr>
              <w:t xml:space="preserve">• Yêu thích công việc biên, phiên dịch và là cầu nối ngôn ngữ giữa các thành viên trong công ty.</w:t>
            </w:r>
            <w:r w:rsidDel="00000000" w:rsidR="00000000" w:rsidRPr="00000000">
              <w:rPr>
                <w:rtl w:val="0"/>
              </w:rPr>
            </w:r>
          </w:p>
        </w:tc>
      </w:tr>
      <w:tr>
        <w:trPr>
          <w:cantSplit w:val="0"/>
          <w:trHeight w:val="899"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Welcome/ a plus</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F">
            <w:pPr>
              <w:spacing w:after="0" w:line="240" w:lineRule="auto"/>
              <w:rPr>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Các bạn đã từng sống, học tập và làm việc tại Nhật Bản trên 2 năm. </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 Có kinh nghiệm lập trình.</w:t>
            </w:r>
          </w:p>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color w:val="7f7f7f"/>
                <w:rtl w:val="0"/>
              </w:rPr>
              <w:t xml:space="preserve">• </w:t>
            </w:r>
            <w:r w:rsidDel="00000000" w:rsidR="00000000" w:rsidRPr="00000000">
              <w:rPr>
                <w:rFonts w:ascii="Calibri" w:cs="Calibri" w:eastAsia="Calibri" w:hAnsi="Calibri"/>
                <w:color w:val="7f7f7f"/>
                <w:rtl w:val="0"/>
              </w:rPr>
              <w:t xml:space="preserve">Có bằng JLPT N2, N1</w:t>
            </w:r>
          </w:p>
        </w:tc>
      </w:tr>
      <w:tr>
        <w:trPr>
          <w:cantSplit w:val="0"/>
          <w:trHeight w:val="53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color w:val="7f7f7f"/>
              </w:rPr>
            </w:pPr>
            <w:r w:rsidDel="00000000" w:rsidR="00000000" w:rsidRPr="00000000">
              <w:rPr>
                <w:rFonts w:ascii="Calibri" w:cs="Calibri" w:eastAsia="Calibri" w:hAnsi="Calibri"/>
                <w:color w:val="7f7f7f"/>
                <w:rtl w:val="0"/>
              </w:rPr>
              <w:t xml:space="preserve">• JLPT N2, N1</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414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WorkShop do các Leader, PM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A">
            <w:pPr>
              <w:spacing w:after="0" w:line="240" w:lineRule="auto"/>
              <w:rPr>
                <w:color w:val="7f7f7f"/>
              </w:rPr>
            </w:pPr>
            <w:r w:rsidDel="00000000" w:rsidR="00000000" w:rsidRPr="00000000">
              <w:rPr>
                <w:rFonts w:ascii="Calibri" w:cs="Calibri" w:eastAsia="Calibri" w:hAnsi="Calibri"/>
                <w:color w:val="808080"/>
                <w:rtl w:val="0"/>
              </w:rPr>
              <w:t xml:space="preserve">• </w:t>
            </w:r>
            <w:r w:rsidDel="00000000" w:rsidR="00000000" w:rsidRPr="00000000">
              <w:rPr>
                <w:color w:val="7f7f7f"/>
                <w:rtl w:val="0"/>
              </w:rPr>
              <w:t xml:space="preserve">Được phép làm việc từ xa 1 ngày/ tháng.</w:t>
            </w:r>
          </w:p>
          <w:p w:rsidR="00000000" w:rsidDel="00000000" w:rsidP="00000000" w:rsidRDefault="00000000" w:rsidRPr="00000000" w14:paraId="0000004B">
            <w:pPr>
              <w:spacing w:after="0" w:line="240" w:lineRule="auto"/>
              <w:rPr>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Môi trường làm việc trẻ, thân thiện, năng động.</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Teambuilding, du lịch hằng năm.</w:t>
            </w:r>
            <w:r w:rsidDel="00000000" w:rsidR="00000000" w:rsidRPr="00000000">
              <w:rPr>
                <w:rtl w:val="0"/>
              </w:rPr>
            </w:r>
          </w:p>
        </w:tc>
      </w:tr>
      <w:tr>
        <w:trPr>
          <w:cantSplit w:val="0"/>
          <w:trHeight w:val="153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 </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5">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u2hI4q04SderrbV4mD22KLSLOA==">AMUW2mWXLQRsaZ6jb3QAPDzS07gPE79s0p0sFhd4bLfZGEcjRMGT98nzwK0DDcCDOvqEsbAwpBViUel1vMSD32aco/74xfmU/rgZFMfmbtYL5MigkLR+dlI=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