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Javascript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Web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Xây dựng mã hóa bền vững có thể được sử dụng trong tương lai.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Đảm bảo tính khả thi của các thiết kế UI/ UX.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Nâng cao hiệu suất của trang web giao diện người dùng chính.</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Sửa đổi thiết kế và thông số kỹ thuật của các ứng dụng phức tạp.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Phân tích mã, yêu cầu, rủi ro hệ thống và độ tin cậy của phần mềm. </w:t>
            </w:r>
          </w:p>
          <w:p w:rsidR="00000000" w:rsidDel="00000000" w:rsidP="00000000" w:rsidRDefault="00000000" w:rsidRPr="00000000" w14:paraId="00000032">
            <w:pPr>
              <w:spacing w:after="0" w:line="240" w:lineRule="auto"/>
              <w:rPr>
                <w:rFonts w:ascii="Calibri" w:cs="Calibri" w:eastAsia="Calibri" w:hAnsi="Calibri"/>
                <w:color w:val="7f7f7f"/>
              </w:rPr>
            </w:pPr>
            <w:r w:rsidDel="00000000" w:rsidR="00000000" w:rsidRPr="00000000">
              <w:rPr>
                <w:color w:val="7f7f7f"/>
                <w:rtl w:val="0"/>
              </w:rPr>
              <w:t xml:space="preserve">• Cộng tác với các nhà phát triển web front-end và back-end.</w:t>
            </w:r>
            <w:r w:rsidDel="00000000" w:rsidR="00000000" w:rsidRPr="00000000">
              <w:rPr>
                <w:rtl w:val="0"/>
              </w:rPr>
            </w:r>
          </w:p>
        </w:tc>
      </w:tr>
      <w:tr>
        <w:trPr>
          <w:cantSplit w:val="0"/>
          <w:trHeight w:val="233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Hơn 3 năm kinh nghiệm lập trình bằng JavaScript. </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Kiến thức đầy đủ về các ngôn ngữ lập trình như Javascript, HTML và CSS </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Có kinh nghiệm với các frameworks JavaScript (ví dụ: Javascript JS, ExtJS, Backbone JS và Angular JS).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Quen thuộc với các công cụ phát triển web như Git, jQuery và Bootstrap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Có kinh nghiệm về các công cụ front-end (ví dụ: Grunt và Gulp JS). </w:t>
            </w:r>
          </w:p>
          <w:p w:rsidR="00000000" w:rsidDel="00000000" w:rsidP="00000000" w:rsidRDefault="00000000" w:rsidRPr="00000000" w14:paraId="0000003A">
            <w:pPr>
              <w:spacing w:after="0" w:line="240" w:lineRule="auto"/>
              <w:rPr>
                <w:rFonts w:ascii="Calibri" w:cs="Calibri" w:eastAsia="Calibri" w:hAnsi="Calibri"/>
                <w:color w:val="808080"/>
              </w:rPr>
            </w:pPr>
            <w:r w:rsidDel="00000000" w:rsidR="00000000" w:rsidRPr="00000000">
              <w:rPr>
                <w:color w:val="7f7f7f"/>
                <w:rtl w:val="0"/>
              </w:rPr>
              <w:t xml:space="preserve">• Hiểu rõ về web markup chẳng hạn như HTML5.</w:t>
            </w:r>
            <w:r w:rsidDel="00000000" w:rsidR="00000000" w:rsidRPr="00000000">
              <w:rPr>
                <w:rtl w:val="0"/>
              </w:rPr>
            </w:r>
          </w:p>
        </w:tc>
      </w:tr>
      <w:tr>
        <w:trPr>
          <w:cantSplit w:val="0"/>
          <w:trHeight w:val="125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B">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C">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Ưu tiên biết tiếng Anh; </w:t>
            </w:r>
          </w:p>
          <w:p w:rsidR="00000000" w:rsidDel="00000000" w:rsidP="00000000" w:rsidRDefault="00000000" w:rsidRPr="00000000" w14:paraId="0000003D">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3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2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JLPT N3</w:t>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60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6">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4F">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g42S9RtlGF8+M8qB4DDrekY6A==">AMUW2mVsz9V2mJFYQ6PDaNkUt6qrhpwS9xETdDHcF6HvwIE4RG0jGeA/QhrtI7YMW/Atdmz3NlaqkEI77VdvjKrvvgJysbyV+cU0bd6wzSLCx5wcA6NGx6M=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