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Kế toán trưởng</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color w:val="808080"/>
                <w:rtl w:val="0"/>
              </w:rPr>
              <w:t xml:space="preserve">Kế toán</w:t>
            </w:r>
            <w:r w:rsidDel="00000000" w:rsidR="00000000" w:rsidRPr="00000000">
              <w:rPr>
                <w:rtl w:val="0"/>
              </w:rPr>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color w:val="808080"/>
                <w:rtl w:val="0"/>
              </w:rPr>
              <w:t xml:space="preserve">F</w:t>
            </w:r>
            <w:r w:rsidDel="00000000" w:rsidR="00000000" w:rsidRPr="00000000">
              <w:rPr>
                <w:rFonts w:ascii="Calibri" w:cs="Calibri" w:eastAsia="Calibri" w:hAnsi="Calibri"/>
                <w:color w:val="808080"/>
                <w:rtl w:val="0"/>
              </w:rPr>
              <w:t xml:space="preserve">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color w:val="808080"/>
                <w:rtl w:val="0"/>
              </w:rPr>
              <w:t xml:space="preserve">1</w:t>
            </w:r>
            <w:r w:rsidDel="00000000" w:rsidR="00000000" w:rsidRPr="00000000">
              <w:rPr>
                <w:rFonts w:ascii="Calibri" w:cs="Calibri" w:eastAsia="Calibri" w:hAnsi="Calibri"/>
                <w:color w:val="808080"/>
                <w:rtl w:val="0"/>
              </w:rPr>
              <w:t xml:space="preserve">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r w:rsidDel="00000000" w:rsidR="00000000" w:rsidRPr="00000000">
              <w:rPr>
                <w:color w:val="808080"/>
                <w:rtl w:val="0"/>
              </w:rPr>
              <w:t xml:space="preserve">7</w:t>
            </w:r>
            <w:r w:rsidDel="00000000" w:rsidR="00000000" w:rsidRPr="00000000">
              <w:rPr>
                <w:rFonts w:ascii="Calibri" w:cs="Calibri" w:eastAsia="Calibri" w:hAnsi="Calibri"/>
                <w:color w:val="808080"/>
                <w:rtl w:val="0"/>
              </w:rPr>
              <w:t xml:space="preserve">00 ~ $</w:t>
            </w:r>
            <w:r w:rsidDel="00000000" w:rsidR="00000000" w:rsidRPr="00000000">
              <w:rPr>
                <w:color w:val="808080"/>
                <w:rtl w:val="0"/>
              </w:rPr>
              <w:t xml:space="preserve">15</w:t>
            </w:r>
            <w:r w:rsidDel="00000000" w:rsidR="00000000" w:rsidRPr="00000000">
              <w:rPr>
                <w:rFonts w:ascii="Calibri" w:cs="Calibri" w:eastAsia="Calibri" w:hAnsi="Calibri"/>
                <w:color w:val="808080"/>
                <w:rtl w:val="0"/>
              </w:rPr>
              <w:t xml:space="preserve">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B">
            <w:pPr>
              <w:spacing w:after="0" w:line="240" w:lineRule="auto"/>
              <w:rPr>
                <w:color w:val="7f7f7f"/>
              </w:rPr>
            </w:pPr>
            <w:r w:rsidDel="00000000" w:rsidR="00000000" w:rsidRPr="00000000">
              <w:rPr>
                <w:color w:val="7f7f7f"/>
                <w:rtl w:val="0"/>
              </w:rPr>
              <w:t xml:space="preserve">• Tổ chức hệ thống kế toán của doanh nghiệp để tiến hành ghi chép, hạch toán các nghiệp vụ kinh tế phát sinh trong hoạt  động vận doanh của Cty, trên cơ sở không ngừng cải tiến tổ chức bộ máy và tuân thủ Pháp lệnh kế toán thống kê.</w:t>
            </w:r>
          </w:p>
          <w:p w:rsidR="00000000" w:rsidDel="00000000" w:rsidP="00000000" w:rsidRDefault="00000000" w:rsidRPr="00000000" w14:paraId="0000002C">
            <w:pPr>
              <w:spacing w:after="0" w:line="240" w:lineRule="auto"/>
              <w:rPr>
                <w:color w:val="7f7f7f"/>
              </w:rPr>
            </w:pPr>
            <w:r w:rsidDel="00000000" w:rsidR="00000000" w:rsidRPr="00000000">
              <w:rPr>
                <w:color w:val="7f7f7f"/>
                <w:rtl w:val="0"/>
              </w:rPr>
              <w:t xml:space="preserve">• Thiết lập đầy đủ và gửi đúng hạn các báo cáo kế toán, thống kê và quyết toán theo quy định của Nhà nước và Điều lệ Công ty.</w:t>
            </w:r>
          </w:p>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Hoạch định, tổ chức, kiểm tra, duy trì và đổi mới theo hướng hiệu quả các nghiệp vụ kế toán quản trị.</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Tổ chức phổ biến và hướng dẫn thi hành kịp thời các chế độ, thể lệ tài chánh, kế toán do Nhà nước ban hành cho các cấp thừa hành thuộc hệ thống kế toán – thống kê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Kiểm tra việc bảo quản, lưu trữ các tài liệu kế toán.</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Thực hiện kế hoạch đào tạo, bồi dưỡng, nâng cao trình độ, xây dựng đội ngũ kế toán viên của Công ty.</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Thực hiện quản lý hoạt động ngân sách của doanh nghiệp.</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Hoạch định và đưa ra những quyết định tài chánh ngắn hạn.</w:t>
            </w:r>
          </w:p>
          <w:p w:rsidR="00000000" w:rsidDel="00000000" w:rsidP="00000000" w:rsidRDefault="00000000" w:rsidRPr="00000000" w14:paraId="00000033">
            <w:pPr>
              <w:spacing w:after="0" w:line="240" w:lineRule="auto"/>
              <w:rPr>
                <w:color w:val="7f7f7f"/>
              </w:rPr>
            </w:pPr>
            <w:r w:rsidDel="00000000" w:rsidR="00000000" w:rsidRPr="00000000">
              <w:rPr>
                <w:rtl w:val="0"/>
              </w:rPr>
            </w:r>
          </w:p>
        </w:tc>
      </w:tr>
      <w:tr>
        <w:trPr>
          <w:cantSplit w:val="0"/>
          <w:trHeight w:val="2025"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Tốt nghiệp Đại học chuyên ngành Kế toán, tài chính, quản trị</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Tiếng Anh - Trình độ C trở lên</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Kinh nghiệm thực tế  02 năm trở lên</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Kỹ năng lãnh đạo và giao tiếp xuất sắc.</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Mức độ hiệu quả và chính xác cao.</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Am hiểu lĩnh vực quản trị, ngoại giao.</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Giỏi trong các lĩnh vực của kế toán, tài chính, thống kê.</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Kỹ năng vi tính thành thạo.</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Thái độ chủ động trong công việc</w:t>
            </w:r>
          </w:p>
          <w:p w:rsidR="00000000" w:rsidDel="00000000" w:rsidP="00000000" w:rsidRDefault="00000000" w:rsidRPr="00000000" w14:paraId="0000003E">
            <w:pPr>
              <w:spacing w:after="0" w:line="240" w:lineRule="auto"/>
              <w:rPr>
                <w:color w:val="7f7f7f"/>
              </w:rPr>
            </w:pPr>
            <w:r w:rsidDel="00000000" w:rsidR="00000000" w:rsidRPr="00000000">
              <w:rPr>
                <w:rtl w:val="0"/>
              </w:rPr>
            </w:r>
          </w:p>
        </w:tc>
      </w:tr>
      <w:tr>
        <w:trPr>
          <w:cantSplit w:val="0"/>
          <w:trHeight w:val="91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F">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0">
            <w:pPr>
              <w:spacing w:after="0" w:line="240" w:lineRule="auto"/>
              <w:rPr>
                <w:color w:val="7f7f7f"/>
              </w:rPr>
            </w:pPr>
            <w:r w:rsidDel="00000000" w:rsidR="00000000" w:rsidRPr="00000000">
              <w:rPr>
                <w:rFonts w:ascii="Calibri" w:cs="Calibri" w:eastAsia="Calibri" w:hAnsi="Calibri"/>
                <w:color w:val="7f7f7f"/>
                <w:rtl w:val="0"/>
              </w:rPr>
              <w:t xml:space="preserve">• </w:t>
            </w:r>
            <w:r w:rsidDel="00000000" w:rsidR="00000000" w:rsidRPr="00000000">
              <w:rPr>
                <w:color w:val="7f7f7f"/>
                <w:rtl w:val="0"/>
              </w:rPr>
              <w:t xml:space="preserve">Có khả năng sử dụng tiếng Anh/Nhật trong môi trường làm việc.</w:t>
            </w:r>
          </w:p>
          <w:p w:rsidR="00000000" w:rsidDel="00000000" w:rsidP="00000000" w:rsidRDefault="00000000" w:rsidRPr="00000000" w14:paraId="00000041">
            <w:pPr>
              <w:spacing w:after="0" w:line="240" w:lineRule="auto"/>
              <w:rPr>
                <w:rFonts w:ascii="Calibri" w:cs="Calibri" w:eastAsia="Calibri" w:hAnsi="Calibri"/>
                <w:color w:val="7f7f7f"/>
              </w:rPr>
            </w:pPr>
            <w:r w:rsidDel="00000000" w:rsidR="00000000" w:rsidRPr="00000000">
              <w:rPr>
                <w:color w:val="7f7f7f"/>
                <w:rtl w:val="0"/>
              </w:rPr>
              <w:t xml:space="preserve">• C</w:t>
            </w:r>
            <w:r w:rsidDel="00000000" w:rsidR="00000000" w:rsidRPr="00000000">
              <w:rPr>
                <w:rFonts w:ascii="Calibri" w:cs="Calibri" w:eastAsia="Calibri" w:hAnsi="Calibri"/>
                <w:color w:val="7f7f7f"/>
                <w:rtl w:val="0"/>
              </w:rPr>
              <w:t xml:space="preserve">ó khả năng làm việc độc lập và làm việc theo nhóm, làm việc ở cường độ cao và chịu áp lực tốt;</w:t>
            </w:r>
          </w:p>
        </w:tc>
      </w:tr>
      <w:tr>
        <w:trPr>
          <w:cantSplit w:val="0"/>
          <w:trHeight w:val="40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trung h</w:t>
            </w:r>
            <w:r w:rsidDel="00000000" w:rsidR="00000000" w:rsidRPr="00000000">
              <w:rPr>
                <w:color w:val="808080"/>
                <w:rtl w:val="0"/>
              </w:rPr>
              <w:t xml:space="preserve">ọc/ cao đẳng/ đại học</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w:t>
            </w:r>
          </w:p>
          <w:p w:rsidR="00000000" w:rsidDel="00000000" w:rsidP="00000000" w:rsidRDefault="00000000" w:rsidRPr="00000000" w14:paraId="00000046">
            <w:pPr>
              <w:spacing w:after="0" w:line="240" w:lineRule="auto"/>
              <w:rPr>
                <w:color w:val="7f7f7f"/>
              </w:rPr>
            </w:pPr>
            <w:r w:rsidDel="00000000" w:rsidR="00000000" w:rsidRPr="00000000">
              <w:rPr>
                <w:color w:val="7f7f7f"/>
                <w:rtl w:val="0"/>
              </w:rPr>
              <w:t xml:space="preserve">• Tiếng Nhật</w:t>
            </w:r>
          </w:p>
        </w:tc>
      </w:tr>
      <w:tr>
        <w:trPr>
          <w:cantSplit w:val="0"/>
          <w:trHeight w:val="46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286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66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54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Anh/Nh</w:t>
            </w:r>
            <w:r w:rsidDel="00000000" w:rsidR="00000000" w:rsidRPr="00000000">
              <w:rPr>
                <w:color w:val="808080"/>
                <w:rtl w:val="0"/>
              </w:rPr>
              <w:t xml:space="preserve">ật</w:t>
            </w:r>
            <w:r w:rsidDel="00000000" w:rsidR="00000000" w:rsidRPr="00000000">
              <w:rPr>
                <w:rFonts w:ascii="Calibri" w:cs="Calibri" w:eastAsia="Calibri" w:hAnsi="Calibri"/>
                <w:color w:val="808080"/>
                <w:rtl w:val="0"/>
              </w:rPr>
              <w:t xml:space="preserve"> giao tiếp</w:t>
            </w:r>
          </w:p>
        </w:tc>
      </w:tr>
    </w:tbl>
    <w:p w:rsidR="00000000" w:rsidDel="00000000" w:rsidP="00000000" w:rsidRDefault="00000000" w:rsidRPr="00000000" w14:paraId="00000054">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43185</wp:posOffset>
          </wp:positionH>
          <wp:positionV relativeFrom="paragraph">
            <wp:posOffset>-28569</wp:posOffset>
          </wp:positionV>
          <wp:extent cx="1908810" cy="352425"/>
          <wp:effectExtent b="0" l="0" r="0" t="0"/>
          <wp:wrapSquare wrapText="bothSides" distB="0" distT="0" distL="114300" distR="114300"/>
          <wp:docPr id="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xG5I99i9SXdVluFrVWbCdxgTA==">AMUW2mWQUPG/FGqBYUkT5NWIyTYAyonpsfNv99+6sp5J9rsaLLsS3m/LMTqw7eBcJQWwO58c1HQ8WwjVgGR8Hty3bw1fdXVOiJHuQHXIGRrroZd052W6Cmk=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